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E3D08">
      <w:pPr>
        <w:pStyle w:val="17"/>
        <w:jc w:val="center"/>
        <w:outlineLvl w:val="0"/>
        <w:rPr>
          <w:rFonts w:hint="eastAsia" w:eastAsiaTheme="minorEastAsia"/>
          <w:b/>
          <w:color w:val="auto"/>
          <w:sz w:val="30"/>
          <w:szCs w:val="30"/>
          <w:highlight w:val="none"/>
          <w:lang w:val="en-US" w:eastAsia="zh-CN"/>
        </w:rPr>
      </w:pPr>
      <w:bookmarkStart w:id="2" w:name="_GoBack"/>
      <w:bookmarkEnd w:id="2"/>
      <w:bookmarkStart w:id="0" w:name="_Toc10974"/>
      <w:r>
        <w:rPr>
          <w:b/>
          <w:color w:val="auto"/>
          <w:sz w:val="30"/>
          <w:szCs w:val="30"/>
          <w:highlight w:val="none"/>
        </w:rPr>
        <w:t>第</w:t>
      </w:r>
      <w:r>
        <w:rPr>
          <w:rFonts w:hint="eastAsia"/>
          <w:b/>
          <w:color w:val="auto"/>
          <w:sz w:val="30"/>
          <w:szCs w:val="30"/>
          <w:highlight w:val="none"/>
          <w:lang w:val="en-US" w:eastAsia="zh-CN"/>
        </w:rPr>
        <w:t>七</w:t>
      </w:r>
      <w:r>
        <w:rPr>
          <w:b/>
          <w:color w:val="auto"/>
          <w:sz w:val="30"/>
          <w:szCs w:val="30"/>
          <w:highlight w:val="none"/>
        </w:rPr>
        <w:t>章 拟签订采购合同文本</w:t>
      </w:r>
      <w:bookmarkEnd w:id="0"/>
      <w:r>
        <w:rPr>
          <w:rFonts w:hint="eastAsia"/>
          <w:b/>
          <w:color w:val="auto"/>
          <w:sz w:val="30"/>
          <w:szCs w:val="30"/>
          <w:highlight w:val="none"/>
          <w:lang w:eastAsia="zh-CN"/>
        </w:rPr>
        <w:t>（</w:t>
      </w:r>
      <w:r>
        <w:rPr>
          <w:rFonts w:hint="eastAsia"/>
          <w:b/>
          <w:color w:val="auto"/>
          <w:sz w:val="30"/>
          <w:szCs w:val="30"/>
          <w:highlight w:val="none"/>
          <w:lang w:val="en-US" w:eastAsia="zh-CN"/>
        </w:rPr>
        <w:t>参考</w:t>
      </w:r>
      <w:r>
        <w:rPr>
          <w:rFonts w:hint="eastAsia"/>
          <w:b/>
          <w:color w:val="auto"/>
          <w:sz w:val="30"/>
          <w:szCs w:val="30"/>
          <w:highlight w:val="none"/>
          <w:lang w:eastAsia="zh-CN"/>
        </w:rPr>
        <w:t>）</w:t>
      </w:r>
    </w:p>
    <w:p w14:paraId="1A7B9167">
      <w:pPr>
        <w:widowControl/>
        <w:adjustRightInd w:val="0"/>
        <w:snapToGrid w:val="0"/>
        <w:spacing w:line="440" w:lineRule="exact"/>
        <w:rPr>
          <w:rFonts w:hint="eastAsia" w:ascii="宋体" w:hAnsi="宋体" w:cs="宋体"/>
          <w:color w:val="auto"/>
          <w:szCs w:val="21"/>
          <w:highlight w:val="none"/>
        </w:rPr>
      </w:pPr>
      <w:bookmarkStart w:id="1" w:name="_Hlk77692019"/>
    </w:p>
    <w:p w14:paraId="34B35A6D">
      <w:pPr>
        <w:widowControl/>
        <w:adjustRightInd w:val="0"/>
        <w:snapToGrid w:val="0"/>
        <w:spacing w:line="440" w:lineRule="exact"/>
        <w:rPr>
          <w:rFonts w:hint="eastAsia" w:ascii="宋体" w:hAnsi="宋体" w:cs="宋体"/>
          <w:color w:val="auto"/>
          <w:szCs w:val="21"/>
          <w:highlight w:val="none"/>
          <w:u w:val="single"/>
        </w:rPr>
      </w:pPr>
      <w:r>
        <w:rPr>
          <w:rFonts w:hint="eastAsia" w:ascii="宋体" w:hAnsi="宋体" w:cs="宋体"/>
          <w:color w:val="auto"/>
          <w:szCs w:val="21"/>
          <w:highlight w:val="none"/>
        </w:rPr>
        <w:t>甲    方：</w:t>
      </w:r>
      <w:r>
        <w:rPr>
          <w:rFonts w:hint="eastAsia" w:ascii="宋体" w:hAnsi="宋体" w:cs="宋体"/>
          <w:color w:val="auto"/>
          <w:szCs w:val="21"/>
          <w:highlight w:val="none"/>
          <w:u w:val="single"/>
        </w:rPr>
        <w:t xml:space="preserve">              </w:t>
      </w:r>
    </w:p>
    <w:p w14:paraId="01CCAF26">
      <w:pPr>
        <w:widowControl/>
        <w:adjustRightInd w:val="0"/>
        <w:snapToGrid w:val="0"/>
        <w:spacing w:line="440" w:lineRule="exact"/>
        <w:rPr>
          <w:rFonts w:hint="eastAsia" w:ascii="宋体" w:hAnsi="宋体" w:cs="宋体"/>
          <w:color w:val="auto"/>
          <w:szCs w:val="21"/>
          <w:highlight w:val="none"/>
          <w:u w:val="single"/>
        </w:rPr>
      </w:pPr>
      <w:r>
        <w:rPr>
          <w:rFonts w:hint="eastAsia" w:ascii="宋体" w:hAnsi="宋体" w:cs="宋体"/>
          <w:color w:val="auto"/>
          <w:szCs w:val="21"/>
          <w:highlight w:val="none"/>
        </w:rPr>
        <w:t>乙    方：</w:t>
      </w:r>
      <w:r>
        <w:rPr>
          <w:rFonts w:hint="eastAsia" w:ascii="宋体" w:hAnsi="宋体" w:cs="宋体"/>
          <w:color w:val="auto"/>
          <w:szCs w:val="21"/>
          <w:highlight w:val="none"/>
          <w:u w:val="single"/>
        </w:rPr>
        <w:t xml:space="preserve">              </w:t>
      </w:r>
    </w:p>
    <w:p w14:paraId="6D57A106">
      <w:pPr>
        <w:widowControl/>
        <w:adjustRightInd w:val="0"/>
        <w:snapToGrid w:val="0"/>
        <w:spacing w:line="440" w:lineRule="exact"/>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项目</w:t>
      </w:r>
      <w:r>
        <w:rPr>
          <w:rFonts w:hint="eastAsia" w:ascii="宋体" w:hAnsi="宋体" w:cs="宋体"/>
          <w:color w:val="auto"/>
          <w:szCs w:val="21"/>
          <w:highlight w:val="none"/>
        </w:rPr>
        <w:t>名称：</w:t>
      </w:r>
      <w:r>
        <w:rPr>
          <w:rFonts w:hint="eastAsia" w:ascii="宋体" w:hAnsi="宋体" w:cs="宋体"/>
          <w:color w:val="auto"/>
          <w:szCs w:val="21"/>
          <w:highlight w:val="none"/>
          <w:u w:val="single"/>
        </w:rPr>
        <w:t xml:space="preserve">              </w:t>
      </w:r>
    </w:p>
    <w:p w14:paraId="2BBE1258">
      <w:pPr>
        <w:adjustRightInd w:val="0"/>
        <w:snapToGrid w:val="0"/>
        <w:spacing w:line="440" w:lineRule="exact"/>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项目</w:t>
      </w:r>
      <w:r>
        <w:rPr>
          <w:rFonts w:hint="eastAsia" w:ascii="宋体" w:hAnsi="宋体" w:cs="宋体"/>
          <w:color w:val="auto"/>
          <w:szCs w:val="21"/>
          <w:highlight w:val="none"/>
        </w:rPr>
        <w:t>地点：</w:t>
      </w:r>
      <w:r>
        <w:rPr>
          <w:rFonts w:hint="eastAsia" w:ascii="宋体" w:hAnsi="宋体" w:cs="宋体"/>
          <w:color w:val="auto"/>
          <w:szCs w:val="21"/>
          <w:highlight w:val="none"/>
          <w:u w:val="single"/>
        </w:rPr>
        <w:t xml:space="preserve">              </w:t>
      </w:r>
    </w:p>
    <w:p w14:paraId="6EDDC8A6">
      <w:pPr>
        <w:pStyle w:val="3"/>
        <w:adjustRightInd w:val="0"/>
        <w:snapToGrid w:val="0"/>
        <w:spacing w:line="44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为确保地下文化遗产安全，推动</w:t>
      </w:r>
      <w:r>
        <w:rPr>
          <w:rFonts w:hint="eastAsia" w:ascii="宋体" w:hAnsi="宋体" w:cs="宋体"/>
          <w:color w:val="auto"/>
          <w:szCs w:val="21"/>
          <w:highlight w:val="none"/>
          <w:lang w:val="en-US" w:eastAsia="zh-CN"/>
        </w:rPr>
        <w:t>项目</w:t>
      </w:r>
      <w:r>
        <w:rPr>
          <w:rFonts w:hint="eastAsia" w:ascii="宋体" w:hAnsi="宋体" w:cs="宋体"/>
          <w:color w:val="auto"/>
          <w:szCs w:val="21"/>
          <w:highlight w:val="none"/>
        </w:rPr>
        <w:t>建设顺利进行，根据相关法律、法规之规定，由甲方委托乙方对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组织进行考古发掘技术服务。甲乙双方本着“既有利于工程建设，又有利于文物保护”的原则，根据本项目招标结果，就本项目工作签订本框架协议。</w:t>
      </w:r>
    </w:p>
    <w:p w14:paraId="5DD3AA15">
      <w:pPr>
        <w:pStyle w:val="3"/>
        <w:adjustRightInd w:val="0"/>
        <w:snapToGrid w:val="0"/>
        <w:spacing w:line="440" w:lineRule="exact"/>
        <w:ind w:firstLine="0"/>
        <w:rPr>
          <w:rFonts w:hint="eastAsia" w:ascii="宋体" w:hAnsi="宋体" w:cs="宋体"/>
          <w:b/>
          <w:bCs/>
          <w:color w:val="auto"/>
          <w:szCs w:val="21"/>
          <w:highlight w:val="none"/>
        </w:rPr>
      </w:pPr>
      <w:r>
        <w:rPr>
          <w:rFonts w:hint="eastAsia" w:ascii="宋体" w:hAnsi="宋体" w:cs="宋体"/>
          <w:b/>
          <w:bCs/>
          <w:color w:val="auto"/>
          <w:szCs w:val="21"/>
          <w:highlight w:val="none"/>
        </w:rPr>
        <w:t>第一条  协议依据</w:t>
      </w:r>
    </w:p>
    <w:p w14:paraId="151A4161">
      <w:pPr>
        <w:pStyle w:val="3"/>
        <w:adjustRightInd w:val="0"/>
        <w:snapToGrid w:val="0"/>
        <w:spacing w:line="440" w:lineRule="exact"/>
        <w:ind w:firstLineChars="200"/>
        <w:rPr>
          <w:rFonts w:hint="eastAsia" w:ascii="宋体" w:hAnsi="宋体" w:cs="宋体"/>
          <w:color w:val="auto"/>
          <w:szCs w:val="21"/>
          <w:highlight w:val="none"/>
        </w:rPr>
      </w:pPr>
      <w:r>
        <w:rPr>
          <w:rFonts w:hint="eastAsia" w:ascii="宋体" w:hAnsi="宋体" w:cs="宋体"/>
          <w:color w:val="auto"/>
          <w:szCs w:val="21"/>
          <w:highlight w:val="none"/>
        </w:rPr>
        <w:t>1.1.《中华人民共和国民法典》（中华人民共和国主席令[十三届第四十五号令]）2020年5月28日第十三届全国人民代表大会第三次会议通过，自2021年1月1日起施行；</w:t>
      </w:r>
    </w:p>
    <w:p w14:paraId="2F57319C">
      <w:pPr>
        <w:pStyle w:val="3"/>
        <w:adjustRightInd w:val="0"/>
        <w:snapToGrid w:val="0"/>
        <w:spacing w:line="440" w:lineRule="exact"/>
        <w:ind w:firstLineChars="200"/>
        <w:rPr>
          <w:rFonts w:hint="eastAsia" w:ascii="宋体" w:hAnsi="宋体" w:cs="宋体"/>
          <w:color w:val="auto"/>
          <w:szCs w:val="21"/>
          <w:highlight w:val="none"/>
        </w:rPr>
      </w:pPr>
      <w:r>
        <w:rPr>
          <w:rFonts w:hint="eastAsia" w:ascii="宋体" w:hAnsi="宋体" w:cs="宋体"/>
          <w:color w:val="auto"/>
          <w:szCs w:val="21"/>
          <w:highlight w:val="none"/>
        </w:rPr>
        <w:t>1.2.《中华人民共和国文物保护法》（2024年修订）（2024年11月8日第十四届全国人民代表大会常务委员会第十二次会议第二次修订）；</w:t>
      </w:r>
    </w:p>
    <w:p w14:paraId="5FB0678B">
      <w:pPr>
        <w:pStyle w:val="3"/>
        <w:adjustRightInd w:val="0"/>
        <w:snapToGrid w:val="0"/>
        <w:spacing w:line="440" w:lineRule="exact"/>
        <w:ind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1.3.《陕西省文物保护条例》（2017年修正）（2017年7月27日陕西省第十二届人民代表大会常务委员会第三十六次会议第二次修正）                               </w:t>
      </w:r>
    </w:p>
    <w:p w14:paraId="18BDCA15">
      <w:pPr>
        <w:pStyle w:val="3"/>
        <w:adjustRightInd w:val="0"/>
        <w:snapToGrid w:val="0"/>
        <w:spacing w:line="440" w:lineRule="exact"/>
        <w:ind w:firstLineChars="200"/>
        <w:rPr>
          <w:rFonts w:hint="eastAsia" w:ascii="宋体" w:hAnsi="宋体" w:cs="宋体"/>
          <w:color w:val="auto"/>
          <w:szCs w:val="21"/>
          <w:highlight w:val="none"/>
        </w:rPr>
      </w:pPr>
      <w:r>
        <w:rPr>
          <w:rFonts w:hint="eastAsia" w:ascii="宋体" w:hAnsi="宋体" w:cs="宋体"/>
          <w:color w:val="auto"/>
          <w:szCs w:val="21"/>
          <w:highlight w:val="none"/>
        </w:rPr>
        <w:t>1.4.国家文物局《关于加强基本建设工程中考古工作的指导意见》（文物保发[2006]42号）</w:t>
      </w:r>
    </w:p>
    <w:p w14:paraId="1A2B699F">
      <w:pPr>
        <w:pStyle w:val="3"/>
        <w:adjustRightInd w:val="0"/>
        <w:snapToGrid w:val="0"/>
        <w:spacing w:line="440" w:lineRule="exact"/>
        <w:ind w:firstLineChars="200"/>
        <w:rPr>
          <w:rFonts w:hint="eastAsia" w:ascii="宋体" w:hAnsi="宋体" w:cs="宋体"/>
          <w:color w:val="auto"/>
          <w:szCs w:val="21"/>
          <w:highlight w:val="none"/>
        </w:rPr>
      </w:pPr>
      <w:r>
        <w:rPr>
          <w:rFonts w:hint="eastAsia" w:ascii="宋体" w:hAnsi="宋体" w:cs="宋体"/>
          <w:color w:val="auto"/>
          <w:szCs w:val="21"/>
          <w:highlight w:val="none"/>
        </w:rPr>
        <w:t>1.5.国家文物局《考古调查、勘探、发掘经费预算定额管理办法》（[90]文物字第248号）</w:t>
      </w:r>
    </w:p>
    <w:p w14:paraId="69562E9C">
      <w:pPr>
        <w:pStyle w:val="3"/>
        <w:adjustRightInd w:val="0"/>
        <w:snapToGrid w:val="0"/>
        <w:spacing w:line="440" w:lineRule="exact"/>
        <w:ind w:firstLineChars="200"/>
        <w:rPr>
          <w:rFonts w:hint="eastAsia" w:ascii="宋体" w:hAnsi="宋体" w:cs="宋体"/>
          <w:color w:val="auto"/>
          <w:szCs w:val="21"/>
          <w:highlight w:val="none"/>
        </w:rPr>
      </w:pPr>
      <w:r>
        <w:rPr>
          <w:rFonts w:hint="eastAsia" w:ascii="宋体" w:hAnsi="宋体" w:cs="宋体"/>
          <w:color w:val="auto"/>
          <w:szCs w:val="21"/>
          <w:highlight w:val="none"/>
        </w:rPr>
        <w:t>1.6.陕西省文物局《关于加强基本建设工程中考古工作的通知》（陕文物发〔2014〕147号）</w:t>
      </w:r>
    </w:p>
    <w:p w14:paraId="3C18EE6F">
      <w:pPr>
        <w:pStyle w:val="3"/>
        <w:adjustRightInd w:val="0"/>
        <w:snapToGrid w:val="0"/>
        <w:spacing w:line="440" w:lineRule="exact"/>
        <w:ind w:firstLineChars="200"/>
        <w:rPr>
          <w:rFonts w:hint="eastAsia" w:ascii="宋体" w:hAnsi="宋体" w:cs="宋体"/>
          <w:color w:val="auto"/>
          <w:szCs w:val="21"/>
          <w:highlight w:val="none"/>
        </w:rPr>
      </w:pPr>
      <w:r>
        <w:rPr>
          <w:rFonts w:hint="eastAsia" w:ascii="宋体" w:hAnsi="宋体" w:cs="宋体"/>
          <w:color w:val="auto"/>
          <w:szCs w:val="21"/>
          <w:highlight w:val="none"/>
        </w:rPr>
        <w:t>1.7.《关于调整陕西省最低工资标准的通知》(陕人社发〔20</w:t>
      </w:r>
      <w:r>
        <w:rPr>
          <w:rFonts w:hint="eastAsia" w:ascii="宋体" w:hAnsi="宋体" w:cs="宋体"/>
          <w:color w:val="auto"/>
          <w:szCs w:val="21"/>
          <w:highlight w:val="none"/>
          <w:lang w:val="en-US" w:eastAsia="zh-CN"/>
        </w:rPr>
        <w:t>21</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号)</w:t>
      </w:r>
    </w:p>
    <w:p w14:paraId="5E9E3AF1">
      <w:pPr>
        <w:pStyle w:val="3"/>
        <w:adjustRightInd w:val="0"/>
        <w:snapToGrid w:val="0"/>
        <w:spacing w:line="440" w:lineRule="exact"/>
        <w:ind w:firstLine="0"/>
        <w:rPr>
          <w:rFonts w:hint="eastAsia" w:ascii="宋体" w:hAnsi="宋体" w:cs="宋体"/>
          <w:b/>
          <w:bCs/>
          <w:color w:val="auto"/>
          <w:szCs w:val="21"/>
          <w:highlight w:val="none"/>
        </w:rPr>
      </w:pPr>
      <w:r>
        <w:rPr>
          <w:rFonts w:hint="eastAsia" w:ascii="宋体" w:hAnsi="宋体" w:cs="宋体"/>
          <w:b/>
          <w:bCs/>
          <w:color w:val="auto"/>
          <w:szCs w:val="21"/>
          <w:highlight w:val="none"/>
        </w:rPr>
        <w:t>第二条  协议内容及工作时间</w:t>
      </w:r>
    </w:p>
    <w:p w14:paraId="168F552D">
      <w:pPr>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2.1.项目位于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。勘探面积为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平方米（</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亩）。</w:t>
      </w:r>
    </w:p>
    <w:p w14:paraId="07147DCD">
      <w:pPr>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乙方根据《考古勘探工作报告》发现的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组织考古发掘及出土文物现场保护等工作，并编制《考古发掘工作报告》。</w:t>
      </w:r>
    </w:p>
    <w:p w14:paraId="167E765D">
      <w:pPr>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2.2.工作期限自甲方工作经费到账并通知进场开展工作之日起，乙方在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个日历天内完成考古发掘工作。如遇雨雪天气及其他不可抗拒因素或重大考古发现，工期顺延。</w:t>
      </w:r>
    </w:p>
    <w:p w14:paraId="036A519A">
      <w:pPr>
        <w:pStyle w:val="3"/>
        <w:adjustRightInd w:val="0"/>
        <w:snapToGrid w:val="0"/>
        <w:spacing w:line="440" w:lineRule="exact"/>
        <w:ind w:firstLine="0"/>
        <w:rPr>
          <w:rFonts w:hint="eastAsia" w:ascii="宋体" w:hAnsi="宋体" w:cs="宋体"/>
          <w:b/>
          <w:bCs/>
          <w:color w:val="auto"/>
          <w:szCs w:val="21"/>
          <w:highlight w:val="none"/>
        </w:rPr>
      </w:pPr>
      <w:r>
        <w:rPr>
          <w:rFonts w:hint="eastAsia" w:ascii="宋体" w:hAnsi="宋体" w:cs="宋体"/>
          <w:b/>
          <w:bCs/>
          <w:color w:val="auto"/>
          <w:szCs w:val="21"/>
          <w:highlight w:val="none"/>
        </w:rPr>
        <w:t>第三条 工作费用及支付方式</w:t>
      </w:r>
    </w:p>
    <w:p w14:paraId="7A4E564C">
      <w:pPr>
        <w:adjustRightInd w:val="0"/>
        <w:snapToGrid w:val="0"/>
        <w:spacing w:line="440" w:lineRule="exact"/>
        <w:ind w:firstLine="420" w:firstLineChars="200"/>
        <w:textAlignment w:val="baseline"/>
        <w:rPr>
          <w:rFonts w:hint="eastAsia" w:ascii="宋体" w:hAnsi="宋体" w:cs="宋体"/>
          <w:color w:val="auto"/>
          <w:szCs w:val="21"/>
          <w:highlight w:val="none"/>
        </w:rPr>
      </w:pPr>
      <w:r>
        <w:rPr>
          <w:rFonts w:hint="eastAsia" w:ascii="宋体" w:hAnsi="宋体" w:cs="宋体"/>
          <w:color w:val="auto"/>
          <w:szCs w:val="21"/>
          <w:highlight w:val="none"/>
        </w:rPr>
        <w:t>3.1取费依据：根据《中华人民共和国文物保护法》及国家计委、财政部、文物局颁发的《考古调查、勘探、发掘、经费预算定额管理办法》（﹝90﹞文物字第248 号）规定，结合项目所在地的实际情况，制订取费标准，进行项目预算。</w:t>
      </w:r>
    </w:p>
    <w:p w14:paraId="75C4E606">
      <w:pPr>
        <w:pStyle w:val="3"/>
        <w:adjustRightInd w:val="0"/>
        <w:snapToGrid w:val="0"/>
        <w:spacing w:line="440" w:lineRule="exact"/>
        <w:ind w:firstLineChars="200"/>
        <w:rPr>
          <w:rFonts w:hint="eastAsia" w:ascii="宋体" w:hAnsi="宋体" w:cs="宋体"/>
          <w:color w:val="auto"/>
          <w:szCs w:val="21"/>
          <w:highlight w:val="none"/>
        </w:rPr>
      </w:pPr>
      <w:r>
        <w:rPr>
          <w:rFonts w:hint="eastAsia" w:ascii="宋体" w:hAnsi="宋体" w:cs="宋体"/>
          <w:color w:val="auto"/>
          <w:szCs w:val="21"/>
          <w:highlight w:val="none"/>
        </w:rPr>
        <w:t>3.2本项目合同总价款为人民币（大写）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 该费用包含</w:t>
      </w:r>
      <w:r>
        <w:rPr>
          <w:rFonts w:hint="eastAsia" w:ascii="宋体" w:hAnsi="宋体" w:cs="宋体"/>
          <w:color w:val="auto"/>
          <w:szCs w:val="21"/>
          <w:highlight w:val="none"/>
          <w:lang w:val="zh-CN"/>
        </w:rPr>
        <w:t>完成本次</w:t>
      </w:r>
      <w:r>
        <w:rPr>
          <w:rFonts w:hint="eastAsia" w:ascii="宋体" w:hAnsi="宋体" w:cs="宋体"/>
          <w:color w:val="auto"/>
          <w:szCs w:val="21"/>
          <w:highlight w:val="none"/>
        </w:rPr>
        <w:t>招标</w:t>
      </w:r>
      <w:r>
        <w:rPr>
          <w:rFonts w:hint="eastAsia" w:ascii="宋体" w:hAnsi="宋体" w:cs="宋体"/>
          <w:color w:val="auto"/>
          <w:szCs w:val="21"/>
          <w:highlight w:val="none"/>
          <w:lang w:val="zh-CN"/>
        </w:rPr>
        <w:t>所要求的所有费用，包括但不限于人工费、设备费、资料费、管理费、社保费、税金等其他一切相关费用。</w:t>
      </w:r>
      <w:r>
        <w:rPr>
          <w:rFonts w:hint="eastAsia" w:ascii="宋体" w:hAnsi="宋体" w:cs="宋体"/>
          <w:color w:val="auto"/>
          <w:szCs w:val="21"/>
          <w:highlight w:val="none"/>
        </w:rPr>
        <w:t>在提供服务的过程中的任何遗漏，均视为已包含，由乙方免费提供，且合同价一次性包死不受市场价变化的影响，甲方将不再支付任何费用。</w:t>
      </w:r>
    </w:p>
    <w:p w14:paraId="7AB63294">
      <w:pPr>
        <w:pStyle w:val="3"/>
        <w:adjustRightInd w:val="0"/>
        <w:snapToGrid w:val="0"/>
        <w:spacing w:line="440" w:lineRule="exact"/>
        <w:ind w:firstLineChars="200"/>
        <w:rPr>
          <w:rFonts w:hint="eastAsia" w:ascii="宋体" w:hAnsi="宋体" w:cs="宋体"/>
          <w:color w:val="auto"/>
          <w:szCs w:val="21"/>
          <w:highlight w:val="none"/>
          <w:lang w:val="zh-CN"/>
        </w:rPr>
      </w:pPr>
      <w:r>
        <w:rPr>
          <w:rFonts w:hint="eastAsia" w:ascii="宋体" w:hAnsi="宋体" w:cs="宋体"/>
          <w:color w:val="auto"/>
          <w:szCs w:val="21"/>
          <w:highlight w:val="none"/>
        </w:rPr>
        <w:t>3.3付款方式：</w:t>
      </w:r>
      <w:r>
        <w:rPr>
          <w:rFonts w:hint="eastAsia" w:ascii="宋体" w:hAnsi="宋体" w:eastAsia="宋体" w:cs="宋体"/>
          <w:color w:val="auto"/>
          <w:szCs w:val="21"/>
          <w:highlight w:val="none"/>
          <w:lang w:val="zh-CN"/>
        </w:rPr>
        <w:t>合同签订后5个工作日内支付50%，项目田野考古发掘结束，并经专家评审验收合格后支付剩余50%。</w:t>
      </w:r>
    </w:p>
    <w:p w14:paraId="27D78304">
      <w:pPr>
        <w:pStyle w:val="3"/>
        <w:adjustRightInd w:val="0"/>
        <w:snapToGrid w:val="0"/>
        <w:spacing w:line="440" w:lineRule="exact"/>
        <w:ind w:firstLineChars="200"/>
        <w:rPr>
          <w:rFonts w:hint="eastAsia" w:ascii="宋体" w:hAnsi="宋体" w:cs="宋体"/>
          <w:color w:val="auto"/>
          <w:szCs w:val="21"/>
          <w:highlight w:val="none"/>
        </w:rPr>
      </w:pPr>
      <w:r>
        <w:rPr>
          <w:rFonts w:hint="eastAsia" w:ascii="宋体" w:hAnsi="宋体" w:cs="宋体"/>
          <w:color w:val="auto"/>
          <w:szCs w:val="21"/>
          <w:highlight w:val="none"/>
        </w:rPr>
        <w:t>3.4甲方付款前，乙方应向甲方提供符合丙方要求的等额增值税</w:t>
      </w:r>
      <w:r>
        <w:rPr>
          <w:rFonts w:hint="eastAsia" w:ascii="宋体" w:hAnsi="宋体" w:eastAsia="宋体" w:cs="宋体"/>
          <w:color w:val="auto"/>
          <w:szCs w:val="21"/>
          <w:highlight w:val="none"/>
          <w:lang w:val="en-US" w:eastAsia="zh-CN"/>
        </w:rPr>
        <w:t>/普通</w:t>
      </w:r>
      <w:r>
        <w:rPr>
          <w:rFonts w:hint="eastAsia" w:ascii="宋体" w:hAnsi="宋体" w:cs="宋体"/>
          <w:color w:val="auto"/>
          <w:szCs w:val="21"/>
          <w:highlight w:val="none"/>
        </w:rPr>
        <w:t>发票。乙方延迟提供发票，甲方付款应相应顺延。</w:t>
      </w:r>
    </w:p>
    <w:p w14:paraId="0DF2E3B8">
      <w:pPr>
        <w:pStyle w:val="3"/>
        <w:adjustRightInd w:val="0"/>
        <w:snapToGrid w:val="0"/>
        <w:spacing w:line="440" w:lineRule="exact"/>
        <w:ind w:firstLine="0"/>
        <w:rPr>
          <w:rFonts w:hint="eastAsia" w:ascii="宋体" w:hAnsi="宋体" w:cs="宋体"/>
          <w:b/>
          <w:bCs/>
          <w:color w:val="auto"/>
          <w:szCs w:val="21"/>
          <w:highlight w:val="none"/>
        </w:rPr>
      </w:pPr>
      <w:r>
        <w:rPr>
          <w:rFonts w:hint="eastAsia" w:ascii="宋体" w:hAnsi="宋体" w:cs="宋体"/>
          <w:b/>
          <w:bCs/>
          <w:color w:val="auto"/>
          <w:szCs w:val="21"/>
          <w:highlight w:val="none"/>
        </w:rPr>
        <w:t>第四条 各方责任与义务</w:t>
      </w:r>
    </w:p>
    <w:p w14:paraId="6AF5EFC4">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4.1.甲方责任与义务</w:t>
      </w:r>
    </w:p>
    <w:p w14:paraId="41B61B78">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4.1.1.完成影响考古发掘的现场清障工作，并提供项目区域内地下设施（包括电缆、光缆、天然气管道及煤气管道等）的走向、深度、宽度及确切位置。</w:t>
      </w:r>
    </w:p>
    <w:p w14:paraId="07F9A305">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4.1.2.完成土地征用、青苗树木补偿、拆除地上地下障碍物，负责协调与项目所在地各级政府及群众的关系，确保发掘工作不受外界干扰。</w:t>
      </w:r>
    </w:p>
    <w:p w14:paraId="2B3A7717">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4.1.3.按照协议约定时限向乙方及时足额支付工作费用。</w:t>
      </w:r>
    </w:p>
    <w:p w14:paraId="1C130FFE">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4.1.4.在乙方未完成文物保护工作的区域内，未经乙方许可，甲方不得擅自进行施工建设；如有特殊情况，双方协商解决。</w:t>
      </w:r>
    </w:p>
    <w:p w14:paraId="24073416">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4.1.5.在服务过程中，如有新的文物遗存（古遗址、古墓葬）或重要考古发现，必须立即停工，并在24小时内通知乙方进行妥善处理，相关费用及工期另行协商。</w:t>
      </w:r>
    </w:p>
    <w:p w14:paraId="6A62A536">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4.1.6.对乙方提供的考古发掘成果文件不得擅自修改，承担有关资料的保密义务，亦不得转让给第三方使用，相关考古发掘成果仅用于建设工程项目的文物保护工作审批。</w:t>
      </w:r>
    </w:p>
    <w:p w14:paraId="68F0C547">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4.1.7.组织项目区域内文物保护工作事项的论证等有关会议。</w:t>
      </w:r>
    </w:p>
    <w:p w14:paraId="441A9806">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4.1.8.负责组织管理考古发掘现场的民工、土方及考古发掘所需设施的临建及运输工作，并承担相关责任及费用。</w:t>
      </w:r>
    </w:p>
    <w:p w14:paraId="1C777DB1">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4.1.9.负责考古工地外围安全、现场人员安全、民工的安全管理及相关费用，负责考古发掘过程中的安全支护及相关费用。</w:t>
      </w:r>
    </w:p>
    <w:p w14:paraId="29642DB8">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4.2.乙方责任与义务</w:t>
      </w:r>
    </w:p>
    <w:p w14:paraId="37803381">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4.2.1.承担甲方建设区域内所有古代文化遗存的考古发掘工作，负责考古发掘证照报批手续。</w:t>
      </w:r>
    </w:p>
    <w:p w14:paraId="7D81283E">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4.2.2.按照《田野考古工作规程》科学组织考古发掘，确保资料准确可靠及出土文物安全。</w:t>
      </w:r>
    </w:p>
    <w:p w14:paraId="4A918FBB">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4.2.3.负责《考古发掘工作报告》的编写。</w:t>
      </w:r>
    </w:p>
    <w:p w14:paraId="268459BB">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4.2.4.按照协议工作期限，完成协议规定的发掘任务，并向甲方移交场地。</w:t>
      </w:r>
    </w:p>
    <w:p w14:paraId="1DB0D261">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4.2.5.完成发掘任务且确认经费全额到账后30日内，向甲方提交符合国家相关要求的《考古发掘工作报告》一式陆份。</w:t>
      </w:r>
    </w:p>
    <w:p w14:paraId="3C08EF74">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4.2.6.在现场工作的乙方人员，应遵守甲方的安全制度及其他有关的规章制度，承担有关资料的保密义务。</w:t>
      </w:r>
    </w:p>
    <w:p w14:paraId="2DD5F2B4">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4.2.7.负责出土文物的安全、现场文物库房的安全及相关费用。</w:t>
      </w:r>
    </w:p>
    <w:p w14:paraId="2CE9CC97">
      <w:pPr>
        <w:adjustRightInd w:val="0"/>
        <w:snapToGrid w:val="0"/>
        <w:spacing w:line="440" w:lineRule="exact"/>
        <w:rPr>
          <w:rFonts w:hint="eastAsia" w:ascii="宋体" w:hAnsi="宋体" w:cs="宋体"/>
          <w:b/>
          <w:bCs/>
          <w:color w:val="auto"/>
          <w:szCs w:val="21"/>
          <w:highlight w:val="none"/>
        </w:rPr>
      </w:pPr>
      <w:r>
        <w:rPr>
          <w:rFonts w:hint="eastAsia" w:ascii="宋体" w:hAnsi="宋体" w:cs="宋体"/>
          <w:b/>
          <w:bCs/>
          <w:color w:val="auto"/>
          <w:szCs w:val="21"/>
          <w:highlight w:val="none"/>
        </w:rPr>
        <w:t>第五条  成果归属及保密条款</w:t>
      </w:r>
    </w:p>
    <w:p w14:paraId="7D531253">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5.1.因本合同项下产生的考古发掘成果归属于乙方所有，未经乙方同意，甲方不得擅自修改或转让给第三方使用，违反本约定给乙方造成损失的，乙方有权索赔。</w:t>
      </w:r>
    </w:p>
    <w:p w14:paraId="4EA89B3A">
      <w:pPr>
        <w:adjustRightInd w:val="0"/>
        <w:snapToGrid w:val="0"/>
        <w:spacing w:line="440" w:lineRule="exact"/>
        <w:rPr>
          <w:rFonts w:hint="eastAsia" w:ascii="宋体" w:hAnsi="宋体" w:cs="宋体"/>
          <w:b/>
          <w:bCs/>
          <w:color w:val="auto"/>
          <w:szCs w:val="21"/>
          <w:highlight w:val="none"/>
        </w:rPr>
      </w:pPr>
      <w:r>
        <w:rPr>
          <w:rFonts w:hint="eastAsia" w:ascii="宋体" w:hAnsi="宋体" w:cs="宋体"/>
          <w:b/>
          <w:bCs/>
          <w:color w:val="auto"/>
          <w:szCs w:val="21"/>
          <w:highlight w:val="none"/>
        </w:rPr>
        <w:t>第六条  违约责任及争议解决</w:t>
      </w:r>
    </w:p>
    <w:p w14:paraId="46C7076E">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6.1.甲方违约责任</w:t>
      </w:r>
    </w:p>
    <w:p w14:paraId="1F5F9DA6">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6.1.1.未按协议约定提供有关资料、数据和工作条件，导致乙方无法按协议约定完成工作任务，甲方承担逾期责任。</w:t>
      </w:r>
    </w:p>
    <w:p w14:paraId="35AF940B">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6.1.2.未按约支付费用，每逾期一日，按未付经费的百分之一向乙方支付违约金。</w:t>
      </w:r>
    </w:p>
    <w:p w14:paraId="02388A0A">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6.1.3.承担因提供资料有误造成乙方返工或工期延迟所增费用。</w:t>
      </w:r>
    </w:p>
    <w:p w14:paraId="3E8CFF8A">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6.1.4.擅自终止协议，已支付工作经费不得要求返还，并向乙方支付相当于工作费用总额百分之五的违约金。</w:t>
      </w:r>
    </w:p>
    <w:p w14:paraId="1CC9B93D">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6.2.乙方违约责任</w:t>
      </w:r>
    </w:p>
    <w:p w14:paraId="5E00046C">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6.2.1.逾期未交付工作成果，每逾期一日，按已付工作经费的百分之一向甲方支付违约金，同时乙方应继续履行义务。逾期超过30日未交付工作成果，甲方有权解除协议，并要求返还支付的工作费用及相当于已支付费用百分之五的违约金。</w:t>
      </w:r>
    </w:p>
    <w:p w14:paraId="4E497538">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6.2.2.擅自终止协议，应退还甲方已支付的工作费用，并向甲方支付相当于工作费用总额百分之五的违约金。</w:t>
      </w:r>
    </w:p>
    <w:p w14:paraId="0401B459">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6.3因本协议履行发生争议，双方应协商解决。协商未果，双方有权向通过项目所在地人民法院诉讼解决。</w:t>
      </w:r>
    </w:p>
    <w:p w14:paraId="7412365F">
      <w:pPr>
        <w:adjustRightInd w:val="0"/>
        <w:snapToGrid w:val="0"/>
        <w:spacing w:line="440" w:lineRule="exact"/>
        <w:rPr>
          <w:rFonts w:hint="eastAsia" w:ascii="宋体" w:hAnsi="宋体" w:cs="宋体"/>
          <w:b/>
          <w:color w:val="auto"/>
          <w:szCs w:val="21"/>
          <w:highlight w:val="none"/>
        </w:rPr>
      </w:pPr>
      <w:r>
        <w:rPr>
          <w:rFonts w:hint="eastAsia" w:ascii="宋体" w:hAnsi="宋体" w:cs="宋体"/>
          <w:b/>
          <w:color w:val="auto"/>
          <w:szCs w:val="21"/>
          <w:highlight w:val="none"/>
        </w:rPr>
        <w:t>第七条  其他</w:t>
      </w:r>
    </w:p>
    <w:p w14:paraId="79701AB0">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7.1.甲、乙双方应本着积极配合、相互协作、精心组织、保证质量、按期完成的原则开展工作，重大事项双方应共同协商解决。</w:t>
      </w:r>
    </w:p>
    <w:p w14:paraId="6B8BE0E3">
      <w:pPr>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color w:val="auto"/>
          <w:szCs w:val="21"/>
          <w:highlight w:val="none"/>
        </w:rPr>
        <w:t>7.2.本协议自甲、乙双方签字盖章或盖章后生效，双方履行完协议规定的义务后，协议终止。</w:t>
      </w:r>
    </w:p>
    <w:p w14:paraId="2A86D72E">
      <w:pPr>
        <w:adjustRightInd w:val="0"/>
        <w:snapToGrid w:val="0"/>
        <w:spacing w:line="440" w:lineRule="exact"/>
        <w:ind w:firstLine="555"/>
        <w:rPr>
          <w:rFonts w:hint="eastAsia" w:ascii="宋体" w:hAnsi="宋体" w:cs="宋体"/>
          <w:i/>
          <w:iCs/>
          <w:color w:val="auto"/>
          <w:szCs w:val="21"/>
          <w:highlight w:val="none"/>
        </w:rPr>
      </w:pPr>
      <w:r>
        <w:rPr>
          <w:rFonts w:hint="eastAsia" w:ascii="宋体" w:hAnsi="宋体" w:cs="宋体"/>
          <w:color w:val="auto"/>
          <w:szCs w:val="21"/>
          <w:highlight w:val="none"/>
        </w:rPr>
        <w:t>7.3.本协议一式捌份，甲乙双方各执肆份。</w:t>
      </w:r>
    </w:p>
    <w:p w14:paraId="4C2B25B8">
      <w:pPr>
        <w:pStyle w:val="3"/>
        <w:adjustRightInd w:val="0"/>
        <w:snapToGrid w:val="0"/>
        <w:spacing w:line="440" w:lineRule="exact"/>
        <w:ind w:firstLineChars="200"/>
        <w:rPr>
          <w:rFonts w:hint="eastAsia" w:ascii="宋体" w:hAnsi="宋体" w:cs="宋体"/>
          <w:color w:val="auto"/>
          <w:szCs w:val="21"/>
          <w:highlight w:val="none"/>
        </w:rPr>
      </w:pPr>
    </w:p>
    <w:tbl>
      <w:tblPr>
        <w:tblStyle w:val="12"/>
        <w:tblW w:w="8860" w:type="dxa"/>
        <w:jc w:val="center"/>
        <w:tblLayout w:type="fixed"/>
        <w:tblCellMar>
          <w:top w:w="0" w:type="dxa"/>
          <w:left w:w="108" w:type="dxa"/>
          <w:bottom w:w="0" w:type="dxa"/>
          <w:right w:w="108" w:type="dxa"/>
        </w:tblCellMar>
      </w:tblPr>
      <w:tblGrid>
        <w:gridCol w:w="4217"/>
        <w:gridCol w:w="4643"/>
      </w:tblGrid>
      <w:tr w14:paraId="390581C3">
        <w:tblPrEx>
          <w:tblCellMar>
            <w:top w:w="0" w:type="dxa"/>
            <w:left w:w="108" w:type="dxa"/>
            <w:bottom w:w="0" w:type="dxa"/>
            <w:right w:w="108" w:type="dxa"/>
          </w:tblCellMar>
        </w:tblPrEx>
        <w:trPr>
          <w:jc w:val="center"/>
        </w:trPr>
        <w:tc>
          <w:tcPr>
            <w:tcW w:w="4217" w:type="dxa"/>
            <w:noWrap w:val="0"/>
            <w:vAlign w:val="top"/>
          </w:tcPr>
          <w:p w14:paraId="2CA31A68">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甲方名称（盖章）:</w:t>
            </w:r>
          </w:p>
          <w:p w14:paraId="2BCB557F">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地址：</w:t>
            </w:r>
          </w:p>
          <w:p w14:paraId="69FF59B4">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法定代表授权人（签字）：</w:t>
            </w:r>
          </w:p>
          <w:p w14:paraId="5920D974">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分管领导：</w:t>
            </w:r>
          </w:p>
          <w:p w14:paraId="3D8ABCF5">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经办人：</w:t>
            </w:r>
          </w:p>
          <w:p w14:paraId="3EC80695">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电话：</w:t>
            </w:r>
          </w:p>
          <w:p w14:paraId="798AEE49">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开户银行：</w:t>
            </w:r>
          </w:p>
          <w:p w14:paraId="4CA9B63D">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帐号：</w:t>
            </w:r>
          </w:p>
        </w:tc>
        <w:tc>
          <w:tcPr>
            <w:tcW w:w="4643" w:type="dxa"/>
            <w:noWrap w:val="0"/>
            <w:vAlign w:val="top"/>
          </w:tcPr>
          <w:p w14:paraId="783C83DB">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乙方名称（盖章）:</w:t>
            </w:r>
          </w:p>
          <w:p w14:paraId="6A0BAA21">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地址：</w:t>
            </w:r>
          </w:p>
          <w:p w14:paraId="06682C7F">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代表人（签字）：</w:t>
            </w:r>
          </w:p>
          <w:p w14:paraId="1007BBDB">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p>
          <w:p w14:paraId="6A7639A4">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p>
          <w:p w14:paraId="7F0F4C1A">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电话：</w:t>
            </w:r>
          </w:p>
          <w:p w14:paraId="665B7853">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开户银行：</w:t>
            </w:r>
          </w:p>
          <w:p w14:paraId="277D8AA0">
            <w:pPr>
              <w:widowControl/>
              <w:autoSpaceDE w:val="0"/>
              <w:autoSpaceDN w:val="0"/>
              <w:adjustRightInd w:val="0"/>
              <w:snapToGrid w:val="0"/>
              <w:spacing w:line="440" w:lineRule="exact"/>
              <w:ind w:right="-154"/>
              <w:textAlignment w:val="bottom"/>
              <w:rPr>
                <w:rFonts w:hint="eastAsia" w:ascii="宋体" w:hAnsi="宋体" w:cs="宋体"/>
                <w:color w:val="auto"/>
                <w:szCs w:val="21"/>
                <w:highlight w:val="none"/>
              </w:rPr>
            </w:pPr>
            <w:r>
              <w:rPr>
                <w:rFonts w:hint="eastAsia" w:ascii="宋体" w:hAnsi="宋体" w:cs="宋体"/>
                <w:color w:val="auto"/>
                <w:szCs w:val="21"/>
                <w:highlight w:val="none"/>
              </w:rPr>
              <w:t>帐号：</w:t>
            </w:r>
          </w:p>
        </w:tc>
      </w:tr>
      <w:bookmarkEnd w:id="1"/>
    </w:tbl>
    <w:p w14:paraId="0E7E38C1">
      <w:pPr>
        <w:keepNext w:val="0"/>
        <w:keepLines w:val="0"/>
        <w:pageBreakBefore w:val="0"/>
        <w:shd w:val="clear" w:color="auto" w:fill="auto"/>
        <w:kinsoku/>
        <w:wordWrap/>
        <w:overflowPunct/>
        <w:topLinePunct w:val="0"/>
        <w:autoSpaceDE/>
        <w:autoSpaceDN/>
        <w:bidi w:val="0"/>
        <w:adjustRightInd w:val="0"/>
        <w:snapToGrid w:val="0"/>
        <w:spacing w:line="460" w:lineRule="exact"/>
        <w:ind w:right="0" w:rightChars="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注：上述合同仅作为参考文本，合同签订时双方可根据项目的具体要求进行修订，实质性内容不得违背单一来源谈判文件的条款。</w:t>
      </w:r>
    </w:p>
    <w:sectPr>
      <w:footerReference r:id="rId3" w:type="default"/>
      <w:pgSz w:w="11906" w:h="16838"/>
      <w:pgMar w:top="1134" w:right="1134" w:bottom="1134" w:left="113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Arial"/>
    <w:panose1 w:val="020B0604020202020204"/>
    <w:charset w:val="80"/>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2DAD3">
    <w:pPr>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7BA2BE">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27BA2BE">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Y2I5ZjE3Njc0ZjcwZDBlZjE3ODhiMzNmZTA4NDIifQ=="/>
  </w:docVars>
  <w:rsids>
    <w:rsidRoot w:val="53B52B8D"/>
    <w:rsid w:val="001C048E"/>
    <w:rsid w:val="002235CA"/>
    <w:rsid w:val="005B034F"/>
    <w:rsid w:val="00D04F54"/>
    <w:rsid w:val="011D0BA5"/>
    <w:rsid w:val="01537940"/>
    <w:rsid w:val="017F6D8E"/>
    <w:rsid w:val="019E4ED3"/>
    <w:rsid w:val="020E3E06"/>
    <w:rsid w:val="026B74AB"/>
    <w:rsid w:val="02E44052"/>
    <w:rsid w:val="02F4414D"/>
    <w:rsid w:val="03D0039E"/>
    <w:rsid w:val="043D4E77"/>
    <w:rsid w:val="04700DA8"/>
    <w:rsid w:val="04877EA0"/>
    <w:rsid w:val="04B073F7"/>
    <w:rsid w:val="04BA70F6"/>
    <w:rsid w:val="04CB2483"/>
    <w:rsid w:val="04EB48D3"/>
    <w:rsid w:val="04F25C61"/>
    <w:rsid w:val="054A409D"/>
    <w:rsid w:val="058C1C12"/>
    <w:rsid w:val="059554A6"/>
    <w:rsid w:val="060B0097"/>
    <w:rsid w:val="061816F7"/>
    <w:rsid w:val="06B75C5D"/>
    <w:rsid w:val="06D41534"/>
    <w:rsid w:val="0710142E"/>
    <w:rsid w:val="071C6FC5"/>
    <w:rsid w:val="072145DC"/>
    <w:rsid w:val="0782379F"/>
    <w:rsid w:val="07E6312F"/>
    <w:rsid w:val="07E92063"/>
    <w:rsid w:val="07FD72FC"/>
    <w:rsid w:val="089D5EE4"/>
    <w:rsid w:val="091326A6"/>
    <w:rsid w:val="09F50BDC"/>
    <w:rsid w:val="0A140428"/>
    <w:rsid w:val="0BD845F9"/>
    <w:rsid w:val="0BE5207C"/>
    <w:rsid w:val="0BEC5774"/>
    <w:rsid w:val="0C142961"/>
    <w:rsid w:val="0CE51189"/>
    <w:rsid w:val="0D1E160E"/>
    <w:rsid w:val="0D6671EC"/>
    <w:rsid w:val="0D6D057B"/>
    <w:rsid w:val="0D791EB1"/>
    <w:rsid w:val="0DBE2B84"/>
    <w:rsid w:val="0DC43CFC"/>
    <w:rsid w:val="0DC5681D"/>
    <w:rsid w:val="0E0A225F"/>
    <w:rsid w:val="0E381B27"/>
    <w:rsid w:val="0EC74FCE"/>
    <w:rsid w:val="0ECC6228"/>
    <w:rsid w:val="0F2729AB"/>
    <w:rsid w:val="0F59068B"/>
    <w:rsid w:val="0F9067A2"/>
    <w:rsid w:val="0F94164E"/>
    <w:rsid w:val="11196324"/>
    <w:rsid w:val="11823D55"/>
    <w:rsid w:val="11AA18B2"/>
    <w:rsid w:val="1213497F"/>
    <w:rsid w:val="12227CAD"/>
    <w:rsid w:val="12241424"/>
    <w:rsid w:val="122B4561"/>
    <w:rsid w:val="127C4DBC"/>
    <w:rsid w:val="12DA538A"/>
    <w:rsid w:val="12E03024"/>
    <w:rsid w:val="12F11306"/>
    <w:rsid w:val="13451652"/>
    <w:rsid w:val="13840DC5"/>
    <w:rsid w:val="13985C26"/>
    <w:rsid w:val="13C32AB0"/>
    <w:rsid w:val="13C45265"/>
    <w:rsid w:val="13CD0F80"/>
    <w:rsid w:val="14425B91"/>
    <w:rsid w:val="14C333C2"/>
    <w:rsid w:val="151A3F56"/>
    <w:rsid w:val="15695ACC"/>
    <w:rsid w:val="158346B4"/>
    <w:rsid w:val="1598015F"/>
    <w:rsid w:val="15D60C87"/>
    <w:rsid w:val="15FA06DC"/>
    <w:rsid w:val="163F682C"/>
    <w:rsid w:val="17025D96"/>
    <w:rsid w:val="17516817"/>
    <w:rsid w:val="177A6D05"/>
    <w:rsid w:val="177F50ED"/>
    <w:rsid w:val="17EA27C8"/>
    <w:rsid w:val="182255F2"/>
    <w:rsid w:val="18583BD5"/>
    <w:rsid w:val="18757EE5"/>
    <w:rsid w:val="18A31A7B"/>
    <w:rsid w:val="19081650"/>
    <w:rsid w:val="194A1770"/>
    <w:rsid w:val="194A7CFC"/>
    <w:rsid w:val="195F2D42"/>
    <w:rsid w:val="1977452F"/>
    <w:rsid w:val="19A830E0"/>
    <w:rsid w:val="19DB09E5"/>
    <w:rsid w:val="19F3005A"/>
    <w:rsid w:val="1A405F82"/>
    <w:rsid w:val="1A98333F"/>
    <w:rsid w:val="1AE57390"/>
    <w:rsid w:val="1B244243"/>
    <w:rsid w:val="1B5D502F"/>
    <w:rsid w:val="1B75684C"/>
    <w:rsid w:val="1B8C2514"/>
    <w:rsid w:val="1C035DA4"/>
    <w:rsid w:val="1C077DEC"/>
    <w:rsid w:val="1C2D7127"/>
    <w:rsid w:val="1C60574F"/>
    <w:rsid w:val="1C635E03"/>
    <w:rsid w:val="1CF73A31"/>
    <w:rsid w:val="1D175E0D"/>
    <w:rsid w:val="1D1C50CD"/>
    <w:rsid w:val="1D1F1166"/>
    <w:rsid w:val="1D2E3FCB"/>
    <w:rsid w:val="1D8342FA"/>
    <w:rsid w:val="1DCF0496"/>
    <w:rsid w:val="1DE62D5A"/>
    <w:rsid w:val="1DE66F9D"/>
    <w:rsid w:val="1E3E5CEA"/>
    <w:rsid w:val="1EC0004C"/>
    <w:rsid w:val="1EDA5344"/>
    <w:rsid w:val="1F2C36C6"/>
    <w:rsid w:val="1F3C1B5B"/>
    <w:rsid w:val="1F4C5B16"/>
    <w:rsid w:val="1F784B5D"/>
    <w:rsid w:val="1F92583B"/>
    <w:rsid w:val="20E81C5A"/>
    <w:rsid w:val="21422D19"/>
    <w:rsid w:val="21846654"/>
    <w:rsid w:val="220E0D95"/>
    <w:rsid w:val="22791318"/>
    <w:rsid w:val="22C53076"/>
    <w:rsid w:val="23700025"/>
    <w:rsid w:val="23891DF0"/>
    <w:rsid w:val="23913130"/>
    <w:rsid w:val="23C95987"/>
    <w:rsid w:val="23DC56BB"/>
    <w:rsid w:val="2447702E"/>
    <w:rsid w:val="24AB6318"/>
    <w:rsid w:val="24E63888"/>
    <w:rsid w:val="24EF141E"/>
    <w:rsid w:val="254259F1"/>
    <w:rsid w:val="25576716"/>
    <w:rsid w:val="25DD7B41"/>
    <w:rsid w:val="26151358"/>
    <w:rsid w:val="261E645E"/>
    <w:rsid w:val="26211093"/>
    <w:rsid w:val="26320878"/>
    <w:rsid w:val="264D07E2"/>
    <w:rsid w:val="264D3A61"/>
    <w:rsid w:val="26675AD2"/>
    <w:rsid w:val="267F0C45"/>
    <w:rsid w:val="268B161A"/>
    <w:rsid w:val="26B5091A"/>
    <w:rsid w:val="272A2FF5"/>
    <w:rsid w:val="272D0945"/>
    <w:rsid w:val="274176DB"/>
    <w:rsid w:val="27524877"/>
    <w:rsid w:val="27893DAB"/>
    <w:rsid w:val="279B3ADF"/>
    <w:rsid w:val="27EB6814"/>
    <w:rsid w:val="28246CCB"/>
    <w:rsid w:val="284C00F1"/>
    <w:rsid w:val="292D27EB"/>
    <w:rsid w:val="295F4405"/>
    <w:rsid w:val="29995DFC"/>
    <w:rsid w:val="299A59FA"/>
    <w:rsid w:val="29A21154"/>
    <w:rsid w:val="29C235A5"/>
    <w:rsid w:val="2A88056B"/>
    <w:rsid w:val="2A92634D"/>
    <w:rsid w:val="2B1C6CE5"/>
    <w:rsid w:val="2B404781"/>
    <w:rsid w:val="2B4F70BA"/>
    <w:rsid w:val="2B6A3B3B"/>
    <w:rsid w:val="2B746B21"/>
    <w:rsid w:val="2BD82C0B"/>
    <w:rsid w:val="2C131890"/>
    <w:rsid w:val="2C2A4AA2"/>
    <w:rsid w:val="2C4D04F5"/>
    <w:rsid w:val="2C7768C8"/>
    <w:rsid w:val="2C7843EE"/>
    <w:rsid w:val="2CD94E8D"/>
    <w:rsid w:val="2CEA52EC"/>
    <w:rsid w:val="2D945E93"/>
    <w:rsid w:val="2DDC3B25"/>
    <w:rsid w:val="2EBD1B9A"/>
    <w:rsid w:val="2EDA32F0"/>
    <w:rsid w:val="2F111AC2"/>
    <w:rsid w:val="2F1432F9"/>
    <w:rsid w:val="2F292AD6"/>
    <w:rsid w:val="2F3106E5"/>
    <w:rsid w:val="2F3E191F"/>
    <w:rsid w:val="2F805A94"/>
    <w:rsid w:val="2F955C50"/>
    <w:rsid w:val="2FAF1ED5"/>
    <w:rsid w:val="303B2136"/>
    <w:rsid w:val="3075311F"/>
    <w:rsid w:val="309B06AC"/>
    <w:rsid w:val="30FA615E"/>
    <w:rsid w:val="315736D8"/>
    <w:rsid w:val="315E3BB3"/>
    <w:rsid w:val="318E3088"/>
    <w:rsid w:val="31AC6F2B"/>
    <w:rsid w:val="323C4698"/>
    <w:rsid w:val="32CE6B16"/>
    <w:rsid w:val="32D83E39"/>
    <w:rsid w:val="33024A12"/>
    <w:rsid w:val="33064502"/>
    <w:rsid w:val="333640E9"/>
    <w:rsid w:val="335F00B6"/>
    <w:rsid w:val="33A13E0A"/>
    <w:rsid w:val="33AF4B9A"/>
    <w:rsid w:val="340A0022"/>
    <w:rsid w:val="3421711A"/>
    <w:rsid w:val="346C358F"/>
    <w:rsid w:val="349B703D"/>
    <w:rsid w:val="349F18F7"/>
    <w:rsid w:val="3502780C"/>
    <w:rsid w:val="351647A5"/>
    <w:rsid w:val="35814314"/>
    <w:rsid w:val="35AF114F"/>
    <w:rsid w:val="35D94150"/>
    <w:rsid w:val="36062A6B"/>
    <w:rsid w:val="364315C9"/>
    <w:rsid w:val="366003CD"/>
    <w:rsid w:val="36C50230"/>
    <w:rsid w:val="36D72B1F"/>
    <w:rsid w:val="371A07CC"/>
    <w:rsid w:val="37216138"/>
    <w:rsid w:val="37E80261"/>
    <w:rsid w:val="384635F3"/>
    <w:rsid w:val="385A4814"/>
    <w:rsid w:val="38752EFE"/>
    <w:rsid w:val="388C65B4"/>
    <w:rsid w:val="390A4620"/>
    <w:rsid w:val="39495149"/>
    <w:rsid w:val="3A0948D8"/>
    <w:rsid w:val="3AB40CE8"/>
    <w:rsid w:val="3ADC46E1"/>
    <w:rsid w:val="3AF17846"/>
    <w:rsid w:val="3B2E1C0F"/>
    <w:rsid w:val="3B3F417F"/>
    <w:rsid w:val="3B452146"/>
    <w:rsid w:val="3B6224F2"/>
    <w:rsid w:val="3B750477"/>
    <w:rsid w:val="3BF03FA1"/>
    <w:rsid w:val="3C1A1BB3"/>
    <w:rsid w:val="3C814BF9"/>
    <w:rsid w:val="3CAA23A2"/>
    <w:rsid w:val="3CCF3AAB"/>
    <w:rsid w:val="3CDF7B9C"/>
    <w:rsid w:val="3D0F0457"/>
    <w:rsid w:val="3D5D11C3"/>
    <w:rsid w:val="3D605CA8"/>
    <w:rsid w:val="3D980813"/>
    <w:rsid w:val="3DA54918"/>
    <w:rsid w:val="3DEE4511"/>
    <w:rsid w:val="3DFB0640"/>
    <w:rsid w:val="3E483C21"/>
    <w:rsid w:val="3E4B54BF"/>
    <w:rsid w:val="3F3917BB"/>
    <w:rsid w:val="3F5D7394"/>
    <w:rsid w:val="3F6A0496"/>
    <w:rsid w:val="3F83659C"/>
    <w:rsid w:val="3FA94B93"/>
    <w:rsid w:val="3FDB0DD7"/>
    <w:rsid w:val="404E443A"/>
    <w:rsid w:val="408A49C4"/>
    <w:rsid w:val="41462BC1"/>
    <w:rsid w:val="41720FB5"/>
    <w:rsid w:val="41913B31"/>
    <w:rsid w:val="420F381B"/>
    <w:rsid w:val="4261206C"/>
    <w:rsid w:val="42996CD2"/>
    <w:rsid w:val="42D77C69"/>
    <w:rsid w:val="43476426"/>
    <w:rsid w:val="43486471"/>
    <w:rsid w:val="4391369E"/>
    <w:rsid w:val="43A85162"/>
    <w:rsid w:val="441647C1"/>
    <w:rsid w:val="443F1622"/>
    <w:rsid w:val="447320CC"/>
    <w:rsid w:val="449753BF"/>
    <w:rsid w:val="44BB7F05"/>
    <w:rsid w:val="452A22D2"/>
    <w:rsid w:val="4550336E"/>
    <w:rsid w:val="4568104C"/>
    <w:rsid w:val="459A3F8A"/>
    <w:rsid w:val="46084EAD"/>
    <w:rsid w:val="465340B2"/>
    <w:rsid w:val="46713F31"/>
    <w:rsid w:val="46724BED"/>
    <w:rsid w:val="468B4FF2"/>
    <w:rsid w:val="473B4A6F"/>
    <w:rsid w:val="47706E1A"/>
    <w:rsid w:val="477F4CEF"/>
    <w:rsid w:val="47A83982"/>
    <w:rsid w:val="47DB350A"/>
    <w:rsid w:val="482A4397"/>
    <w:rsid w:val="4856518C"/>
    <w:rsid w:val="486F624E"/>
    <w:rsid w:val="489A0927"/>
    <w:rsid w:val="48DA07D7"/>
    <w:rsid w:val="49246A8D"/>
    <w:rsid w:val="493C6A78"/>
    <w:rsid w:val="498A77E3"/>
    <w:rsid w:val="49B60A32"/>
    <w:rsid w:val="49F11610"/>
    <w:rsid w:val="4A1277D9"/>
    <w:rsid w:val="4A2D19BB"/>
    <w:rsid w:val="4A331C29"/>
    <w:rsid w:val="4A471230"/>
    <w:rsid w:val="4A5E5D08"/>
    <w:rsid w:val="4ABA50C8"/>
    <w:rsid w:val="4C7C5E5E"/>
    <w:rsid w:val="4CD55219"/>
    <w:rsid w:val="4CF82CB6"/>
    <w:rsid w:val="4D9E7435"/>
    <w:rsid w:val="4DF27705"/>
    <w:rsid w:val="4E0F3611"/>
    <w:rsid w:val="4E125FF9"/>
    <w:rsid w:val="4EB86BA1"/>
    <w:rsid w:val="4F8B7E11"/>
    <w:rsid w:val="4FB76E58"/>
    <w:rsid w:val="4FF77A0C"/>
    <w:rsid w:val="504B57F2"/>
    <w:rsid w:val="50865B9C"/>
    <w:rsid w:val="50F25547"/>
    <w:rsid w:val="50F47C38"/>
    <w:rsid w:val="50F934A0"/>
    <w:rsid w:val="51020851"/>
    <w:rsid w:val="51025EB1"/>
    <w:rsid w:val="51597A9B"/>
    <w:rsid w:val="516721B8"/>
    <w:rsid w:val="51824B43"/>
    <w:rsid w:val="522C5ED3"/>
    <w:rsid w:val="52374081"/>
    <w:rsid w:val="5254412B"/>
    <w:rsid w:val="52EA0C77"/>
    <w:rsid w:val="53607807"/>
    <w:rsid w:val="539C691D"/>
    <w:rsid w:val="53B52B8D"/>
    <w:rsid w:val="54134879"/>
    <w:rsid w:val="54905ECA"/>
    <w:rsid w:val="54F77CF7"/>
    <w:rsid w:val="551219C0"/>
    <w:rsid w:val="55406F8E"/>
    <w:rsid w:val="554A290A"/>
    <w:rsid w:val="558A2919"/>
    <w:rsid w:val="558A5663"/>
    <w:rsid w:val="55BB6F76"/>
    <w:rsid w:val="566A2E0C"/>
    <w:rsid w:val="56A60FEC"/>
    <w:rsid w:val="57600001"/>
    <w:rsid w:val="57671164"/>
    <w:rsid w:val="57AC4DC9"/>
    <w:rsid w:val="57D810AF"/>
    <w:rsid w:val="57E5652D"/>
    <w:rsid w:val="587660CA"/>
    <w:rsid w:val="589073B9"/>
    <w:rsid w:val="58C44394"/>
    <w:rsid w:val="58E3481A"/>
    <w:rsid w:val="594C1A33"/>
    <w:rsid w:val="5974455F"/>
    <w:rsid w:val="598220BE"/>
    <w:rsid w:val="59E22D24"/>
    <w:rsid w:val="5A61633E"/>
    <w:rsid w:val="5A8C7C96"/>
    <w:rsid w:val="5AF26F96"/>
    <w:rsid w:val="5B106EAE"/>
    <w:rsid w:val="5B7756EE"/>
    <w:rsid w:val="5B8F47E5"/>
    <w:rsid w:val="5B933F79"/>
    <w:rsid w:val="5BA61855"/>
    <w:rsid w:val="5BAB3FA9"/>
    <w:rsid w:val="5C1631F6"/>
    <w:rsid w:val="5C5B25F2"/>
    <w:rsid w:val="5C7878F3"/>
    <w:rsid w:val="5C95407D"/>
    <w:rsid w:val="5CCB3F43"/>
    <w:rsid w:val="5DAB167E"/>
    <w:rsid w:val="5E3706B3"/>
    <w:rsid w:val="5E477B8C"/>
    <w:rsid w:val="5E6137A3"/>
    <w:rsid w:val="5EA42C9D"/>
    <w:rsid w:val="5EC32CBD"/>
    <w:rsid w:val="5EE32B99"/>
    <w:rsid w:val="5EE906B0"/>
    <w:rsid w:val="5EF157B7"/>
    <w:rsid w:val="5F2C67EF"/>
    <w:rsid w:val="5F7C32D2"/>
    <w:rsid w:val="5FC52ECB"/>
    <w:rsid w:val="60326087"/>
    <w:rsid w:val="6050387E"/>
    <w:rsid w:val="60561BD9"/>
    <w:rsid w:val="60684C24"/>
    <w:rsid w:val="60966616"/>
    <w:rsid w:val="60EE0939"/>
    <w:rsid w:val="60FB22C5"/>
    <w:rsid w:val="611A2DA3"/>
    <w:rsid w:val="61637835"/>
    <w:rsid w:val="61751786"/>
    <w:rsid w:val="619C7C5C"/>
    <w:rsid w:val="620F54F9"/>
    <w:rsid w:val="62287817"/>
    <w:rsid w:val="62347E94"/>
    <w:rsid w:val="629B6165"/>
    <w:rsid w:val="629E17B2"/>
    <w:rsid w:val="62A4218A"/>
    <w:rsid w:val="62A74B0A"/>
    <w:rsid w:val="62B45479"/>
    <w:rsid w:val="63043D0B"/>
    <w:rsid w:val="63253BB8"/>
    <w:rsid w:val="63462575"/>
    <w:rsid w:val="63612F0B"/>
    <w:rsid w:val="637C5F97"/>
    <w:rsid w:val="6392521F"/>
    <w:rsid w:val="63E43B3C"/>
    <w:rsid w:val="63EB4ECB"/>
    <w:rsid w:val="64AA5F87"/>
    <w:rsid w:val="650D02EA"/>
    <w:rsid w:val="653A7EB8"/>
    <w:rsid w:val="65510D5D"/>
    <w:rsid w:val="655B398A"/>
    <w:rsid w:val="65B8702E"/>
    <w:rsid w:val="65D200F0"/>
    <w:rsid w:val="67887A67"/>
    <w:rsid w:val="67915D89"/>
    <w:rsid w:val="68E5638C"/>
    <w:rsid w:val="693D3B58"/>
    <w:rsid w:val="69764D7D"/>
    <w:rsid w:val="69932899"/>
    <w:rsid w:val="699B1675"/>
    <w:rsid w:val="69F05BB7"/>
    <w:rsid w:val="6A1D56B2"/>
    <w:rsid w:val="6A2B7301"/>
    <w:rsid w:val="6A4E1D0F"/>
    <w:rsid w:val="6AB73D58"/>
    <w:rsid w:val="6AB8153C"/>
    <w:rsid w:val="6B3453A9"/>
    <w:rsid w:val="6B597950"/>
    <w:rsid w:val="6BD9385B"/>
    <w:rsid w:val="6D605FE2"/>
    <w:rsid w:val="6D7C6B93"/>
    <w:rsid w:val="6D8C327A"/>
    <w:rsid w:val="6E2C680B"/>
    <w:rsid w:val="6E631D8F"/>
    <w:rsid w:val="6E7A56BA"/>
    <w:rsid w:val="6E971ED7"/>
    <w:rsid w:val="6E9D5013"/>
    <w:rsid w:val="6EB17689"/>
    <w:rsid w:val="6EF81415"/>
    <w:rsid w:val="6F571666"/>
    <w:rsid w:val="6F6D49E6"/>
    <w:rsid w:val="6F8A1A3C"/>
    <w:rsid w:val="6F964848"/>
    <w:rsid w:val="6FE335BD"/>
    <w:rsid w:val="6FF2313D"/>
    <w:rsid w:val="701E2184"/>
    <w:rsid w:val="704240C4"/>
    <w:rsid w:val="70441BEA"/>
    <w:rsid w:val="70B53F76"/>
    <w:rsid w:val="711A0B9D"/>
    <w:rsid w:val="711D243B"/>
    <w:rsid w:val="714D0D63"/>
    <w:rsid w:val="71940950"/>
    <w:rsid w:val="71B40FF2"/>
    <w:rsid w:val="71C10F79"/>
    <w:rsid w:val="72534367"/>
    <w:rsid w:val="72CC4119"/>
    <w:rsid w:val="736D1458"/>
    <w:rsid w:val="74065409"/>
    <w:rsid w:val="745105EA"/>
    <w:rsid w:val="752419D7"/>
    <w:rsid w:val="759527DF"/>
    <w:rsid w:val="75E27A20"/>
    <w:rsid w:val="76116A13"/>
    <w:rsid w:val="7620778A"/>
    <w:rsid w:val="76342701"/>
    <w:rsid w:val="766823AB"/>
    <w:rsid w:val="768061AD"/>
    <w:rsid w:val="76A83067"/>
    <w:rsid w:val="76F72FEB"/>
    <w:rsid w:val="76FD33E8"/>
    <w:rsid w:val="770A5210"/>
    <w:rsid w:val="7722255A"/>
    <w:rsid w:val="772B3B04"/>
    <w:rsid w:val="77EE267B"/>
    <w:rsid w:val="77F79321"/>
    <w:rsid w:val="78970267"/>
    <w:rsid w:val="789A3CEC"/>
    <w:rsid w:val="78BD69DE"/>
    <w:rsid w:val="78DA26BD"/>
    <w:rsid w:val="796E7CD8"/>
    <w:rsid w:val="798C015E"/>
    <w:rsid w:val="7A9E283F"/>
    <w:rsid w:val="7AAB2866"/>
    <w:rsid w:val="7AC8152C"/>
    <w:rsid w:val="7B4735CF"/>
    <w:rsid w:val="7B486457"/>
    <w:rsid w:val="7B963516"/>
    <w:rsid w:val="7C02295A"/>
    <w:rsid w:val="7C080F50"/>
    <w:rsid w:val="7C4E0BFD"/>
    <w:rsid w:val="7CE04A49"/>
    <w:rsid w:val="7D3B4375"/>
    <w:rsid w:val="7D6E64F9"/>
    <w:rsid w:val="7D827E21"/>
    <w:rsid w:val="7D8F12A8"/>
    <w:rsid w:val="7D9A5540"/>
    <w:rsid w:val="7DAA2D8B"/>
    <w:rsid w:val="7E5F63D8"/>
    <w:rsid w:val="7EEF5FAD"/>
    <w:rsid w:val="7F1B7CAE"/>
    <w:rsid w:val="7F264BB1"/>
    <w:rsid w:val="7F2B4C51"/>
    <w:rsid w:val="7F7D6EC7"/>
    <w:rsid w:val="7F9A2311"/>
    <w:rsid w:val="7FF5151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keepNext/>
      <w:keepLines/>
      <w:spacing w:before="260" w:after="260" w:line="413" w:lineRule="auto"/>
      <w:outlineLvl w:val="2"/>
    </w:pPr>
    <w:rPr>
      <w:b/>
      <w:kern w:val="0"/>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semiHidden/>
    <w:qFormat/>
    <w:uiPriority w:val="0"/>
    <w:rPr>
      <w:rFonts w:ascii="宋体" w:hAnsi="宋体" w:eastAsia="宋体" w:cs="宋体"/>
    </w:rPr>
  </w:style>
  <w:style w:type="paragraph" w:styleId="5">
    <w:name w:val="Body Text Indent"/>
    <w:basedOn w:val="1"/>
    <w:next w:val="1"/>
    <w:qFormat/>
    <w:uiPriority w:val="0"/>
    <w:pPr>
      <w:tabs>
        <w:tab w:val="left" w:pos="8640"/>
      </w:tabs>
      <w:ind w:firstLine="420"/>
    </w:pPr>
    <w:rPr>
      <w:rFonts w:ascii="楷体_GB2312" w:eastAsia="楷体_GB2312"/>
      <w:sz w:val="28"/>
    </w:rPr>
  </w:style>
  <w:style w:type="paragraph" w:styleId="6">
    <w:name w:val="Block Text"/>
    <w:basedOn w:val="1"/>
    <w:qFormat/>
    <w:uiPriority w:val="0"/>
    <w:pPr>
      <w:ind w:left="420" w:right="33"/>
    </w:pPr>
  </w:style>
  <w:style w:type="paragraph" w:styleId="7">
    <w:name w:val="footer"/>
    <w:basedOn w:val="1"/>
    <w:qFormat/>
    <w:uiPriority w:val="0"/>
    <w:pPr>
      <w:tabs>
        <w:tab w:val="center" w:pos="4153"/>
        <w:tab w:val="right" w:pos="8306"/>
      </w:tabs>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4"/>
    <w:unhideWhenUsed/>
    <w:qFormat/>
    <w:uiPriority w:val="99"/>
    <w:pPr>
      <w:ind w:firstLine="420" w:firstLineChars="100"/>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列出段落1"/>
    <w:basedOn w:val="1"/>
    <w:autoRedefine/>
    <w:qFormat/>
    <w:uiPriority w:val="99"/>
    <w:pPr>
      <w:widowControl w:val="0"/>
      <w:ind w:firstLine="420" w:firstLineChars="200"/>
      <w:jc w:val="both"/>
    </w:pPr>
    <w:rPr>
      <w:rFonts w:ascii="Calibri" w:hAnsi="Calibri"/>
      <w:kern w:val="2"/>
      <w:sz w:val="21"/>
      <w:szCs w:val="22"/>
    </w:rPr>
  </w:style>
  <w:style w:type="paragraph" w:customStyle="1" w:styleId="20">
    <w:name w:val="正文 A"/>
    <w:qFormat/>
    <w:uiPriority w:val="99"/>
    <w:pPr>
      <w:widowControl w:val="0"/>
      <w:jc w:val="both"/>
    </w:pPr>
    <w:rPr>
      <w:rFonts w:ascii="Calibri" w:hAnsi="Arial Unicode MS" w:eastAsia="Times New Roman"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3139</Words>
  <Characters>3420</Characters>
  <Lines>0</Lines>
  <Paragraphs>0</Paragraphs>
  <TotalTime>11</TotalTime>
  <ScaleCrop>false</ScaleCrop>
  <LinksUpToDate>false</LinksUpToDate>
  <CharactersWithSpaces>3451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晓晓芸</cp:lastModifiedBy>
  <cp:lastPrinted>2024-11-25T03:02:00Z</cp:lastPrinted>
  <dcterms:modified xsi:type="dcterms:W3CDTF">2026-04-08T07:06:22Z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5926111DAD8E415794446A246424E68F_12</vt:lpwstr>
  </property>
  <property fmtid="{D5CDD505-2E9C-101B-9397-08002B2CF9AE}" pid="4" name="KSOTemplateDocerSaveRecord">
    <vt:lpwstr>eyJoZGlkIjoiMWYwY2I5ZjE3Njc0ZjcwZDBlZjE3ODhiMzNmZTA4NDIiLCJ1c2VySWQiOiIzMDE3NjUwNDIifQ==</vt:lpwstr>
  </property>
</Properties>
</file>